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附件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吉林省城市环境空气质量区域补偿办法（试行）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  <w:t>（征求意见稿）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2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第一条﹝实施目的﹞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鼓励城市环境空气质量较好地区持续改善，促进环境空气质量较差地区加强大气污染防治工作，建立环境空气质量区域补偿机制。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22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"/>
        </w:rPr>
      </w:pPr>
      <w:r>
        <w:rPr>
          <w:rFonts w:ascii="仿宋_GB2312" w:hAnsi="仿宋_GB2312" w:eastAsia="仿宋_GB2312" w:cs="仿宋_GB2312"/>
          <w:b/>
          <w:bCs/>
          <w:color w:val="auto"/>
          <w:kern w:val="0"/>
          <w:sz w:val="31"/>
          <w:szCs w:val="31"/>
          <w:lang w:val="en-US" w:eastAsia="zh-CN" w:bidi="ar"/>
        </w:rPr>
        <w:t>第二条</w:t>
      </w:r>
      <w:r>
        <w:rPr>
          <w:rFonts w:ascii="FZFangSong-Z02" w:hAnsi="FZFangSong-Z02" w:eastAsia="FZFangSong-Z02" w:cs="FZFangSong-Z02"/>
          <w:b/>
          <w:bCs/>
          <w:color w:val="auto"/>
          <w:kern w:val="0"/>
          <w:sz w:val="31"/>
          <w:szCs w:val="31"/>
          <w:lang w:val="en-US" w:eastAsia="zh-CN" w:bidi="ar"/>
        </w:rPr>
        <w:t>﹝</w:t>
      </w:r>
      <w:r>
        <w:rPr>
          <w:rFonts w:ascii="仿宋_GB2312" w:hAnsi="仿宋_GB2312" w:eastAsia="仿宋_GB2312" w:cs="仿宋_GB2312"/>
          <w:b/>
          <w:bCs/>
          <w:color w:val="auto"/>
          <w:kern w:val="0"/>
          <w:sz w:val="31"/>
          <w:szCs w:val="31"/>
          <w:lang w:val="en-US" w:eastAsia="zh-CN" w:bidi="ar"/>
        </w:rPr>
        <w:t>实施对象</w:t>
      </w:r>
      <w:r>
        <w:rPr>
          <w:rFonts w:hint="eastAsia" w:ascii="FZFangSong-Z02" w:hAnsi="FZFangSong-Z02" w:eastAsia="FZFangSong-Z02" w:cs="FZFangSong-Z02"/>
          <w:b/>
          <w:bCs/>
          <w:color w:val="auto"/>
          <w:kern w:val="0"/>
          <w:sz w:val="31"/>
          <w:szCs w:val="31"/>
          <w:lang w:val="en-US" w:eastAsia="zh-CN" w:bidi="ar"/>
        </w:rPr>
        <w:t>﹞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"/>
        </w:rPr>
        <w:t>区域补偿实施对象为各市（州）人民政府（含长白山管委会和梅河口市政府）。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22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1"/>
          <w:szCs w:val="31"/>
          <w:lang w:val="en-US" w:eastAsia="zh-CN" w:bidi="ar"/>
        </w:rPr>
        <w:t>第三条﹝核算指标﹞</w:t>
      </w:r>
      <w:r>
        <w:rPr>
          <w:rFonts w:hint="eastAsia" w:ascii="仿宋_GB2312" w:hAnsi="仿宋_GB2312" w:eastAsia="仿宋_GB2312" w:cs="仿宋_GB2312"/>
          <w:color w:val="auto"/>
          <w:kern w:val="0"/>
          <w:sz w:val="31"/>
          <w:szCs w:val="31"/>
          <w:lang w:val="en-US" w:eastAsia="zh-CN" w:bidi="ar"/>
        </w:rPr>
        <w:t>区域补偿按年度核算，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核算指标为城市环境空气质量细颗粒物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PM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vertAlign w:val="subscript"/>
          <w:lang w:val="en-US" w:eastAsia="zh-CN"/>
        </w:rPr>
        <w:t>2.5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）年平均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浓度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“年平均浓度”，保留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1位小数，数据修约规则参照GB/T 8170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，指标数据来源为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国家审核后的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国控自动监测站有效数据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kern w:val="0"/>
          <w:sz w:val="31"/>
          <w:szCs w:val="31"/>
          <w:lang w:val="en-US" w:eastAsia="zh-CN" w:bidi="ar"/>
        </w:rPr>
        <w:t>长白山管委会和梅河口市使用省级审核后的省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控自动监测站有效数据。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2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1"/>
          <w:szCs w:val="31"/>
          <w:lang w:val="en-US" w:eastAsia="zh-CN" w:bidi="ar"/>
        </w:rPr>
        <w:t>第四条﹝指标阈值﹞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1"/>
          <w:szCs w:val="31"/>
          <w:lang w:val="en-US" w:eastAsia="zh-CN" w:bidi="ar"/>
        </w:rPr>
        <w:t>区域细颗粒物浓度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1"/>
          <w:szCs w:val="31"/>
          <w:lang w:val="en-US" w:eastAsia="zh-CN" w:bidi="ar"/>
        </w:rPr>
        <w:t>补偿阈值为省政府下达当年目标值（即“省考目标”）和全省年度细颗粒物浓度（下称“省平均浓度”）。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22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1"/>
          <w:szCs w:val="31"/>
          <w:lang w:val="en-US" w:eastAsia="zh-CN" w:bidi="ar"/>
        </w:rPr>
        <w:t>第五条﹝补偿资金总额﹞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补偿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资金总额由省财政奖补资金和地区扣款两部分组成。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省财政奖补资金通过污染防治专项资金每年安排1000万元。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地区扣款由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省财政对未完成省考目标的地区实施，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年平均浓度每差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0.1微克/立方米扣款20万元，达到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省平均浓度的不扣款。所扣款项全部用于区域补偿。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7" w:afterLines="50" w:line="600" w:lineRule="exact"/>
        <w:ind w:firstLine="622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ascii="仿宋_GB2312" w:hAnsi="仿宋_GB2312" w:eastAsia="仿宋_GB2312" w:cs="仿宋_GB2312"/>
          <w:b/>
          <w:bCs/>
          <w:color w:val="auto"/>
          <w:kern w:val="0"/>
          <w:sz w:val="31"/>
          <w:szCs w:val="31"/>
          <w:lang w:val="en-US" w:eastAsia="zh-CN" w:bidi="ar"/>
        </w:rPr>
        <w:t>第六条</w:t>
      </w:r>
      <w:r>
        <w:rPr>
          <w:rFonts w:ascii="FZFangSong-Z02" w:hAnsi="FZFangSong-Z02" w:eastAsia="FZFangSong-Z02" w:cs="FZFangSong-Z02"/>
          <w:b/>
          <w:bCs/>
          <w:color w:val="auto"/>
          <w:kern w:val="0"/>
          <w:sz w:val="31"/>
          <w:szCs w:val="31"/>
          <w:lang w:val="en-US" w:eastAsia="zh-CN" w:bidi="ar"/>
        </w:rPr>
        <w:t>﹝</w:t>
      </w:r>
      <w:r>
        <w:rPr>
          <w:rFonts w:ascii="仿宋_GB2312" w:hAnsi="仿宋_GB2312" w:eastAsia="仿宋_GB2312" w:cs="仿宋_GB2312"/>
          <w:b/>
          <w:bCs/>
          <w:color w:val="auto"/>
          <w:kern w:val="0"/>
          <w:sz w:val="31"/>
          <w:szCs w:val="31"/>
          <w:lang w:val="en-US" w:eastAsia="zh-CN" w:bidi="ar"/>
        </w:rPr>
        <w:t>补偿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1"/>
          <w:szCs w:val="31"/>
          <w:lang w:val="en-US" w:eastAsia="zh-CN" w:bidi="ar"/>
        </w:rPr>
        <w:t>方式</w:t>
      </w:r>
      <w:r>
        <w:rPr>
          <w:rFonts w:hint="eastAsia" w:ascii="FZFangSong-Z02" w:hAnsi="FZFangSong-Z02" w:eastAsia="FZFangSong-Z02" w:cs="FZFangSong-Z02"/>
          <w:b/>
          <w:bCs/>
          <w:color w:val="auto"/>
          <w:kern w:val="0"/>
          <w:sz w:val="31"/>
          <w:szCs w:val="31"/>
          <w:lang w:val="en-US" w:eastAsia="zh-CN" w:bidi="ar"/>
        </w:rPr>
        <w:t>﹞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奖励资金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用于奖励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年平均浓度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25微克/立方米以下（含）的地区，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省财政奖补资金的60%和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扣款资金的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40%构成；达标补偿资金用于奖励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完成省考目标的地区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，由省财政安排奖补资金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的40%和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扣款资金的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60%构成。各地应获资金按照下列公式计算: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hAnsi="DejaVu Math TeX Gyre" w:eastAsia="黑体" w:cs="黑体"/>
          <w:b w:val="0"/>
          <w:i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hint="eastAsia" w:ascii="DejaVu Math TeX Gyre" w:hAnsi="DejaVu Math TeX Gyre" w:eastAsia="黑体" w:cs="黑体"/>
              <w:color w:val="auto"/>
              <w:kern w:val="2"/>
              <w:sz w:val="21"/>
              <w:szCs w:val="21"/>
              <w:highlight w:val="none"/>
              <w:u w:val="none"/>
              <w:lang w:val="en-US" w:eastAsia="zh-CN" w:bidi="ar-SA"/>
            </w:rPr>
            <m:t>奖励资金=</m:t>
          </m:r>
          <m:f>
            <m:fPr>
              <m:ctrlPr>
                <w:rPr>
                  <w:rFonts w:hint="eastAsia" w:ascii="DejaVu Math TeX Gyre" w:hAnsi="DejaVu Math TeX Gyre" w:eastAsia="黑体" w:cs="黑体"/>
                  <w:b w:val="0"/>
                  <w:bCs w:val="0"/>
                  <w:color w:val="auto"/>
                  <w:kern w:val="2"/>
                  <w:sz w:val="21"/>
                  <w:szCs w:val="21"/>
                  <w:highlight w:val="none"/>
                  <w:u w:val="none"/>
                  <w:lang w:val="en-US" w:eastAsia="zh-CN" w:bidi="ar-SA"/>
                </w:rPr>
              </m:ctrlPr>
            </m:fPr>
            <m:num>
              <m:sSub>
                <m:sSubPr>
                  <m:ctrlPr>
                    <w:rPr>
                      <w:rFonts w:hint="eastAsia" w:ascii="DejaVu Math TeX Gyre" w:hAnsi="DejaVu Math TeX Gyre" w:eastAsia="黑体" w:cs="黑体"/>
                      <w:b w:val="0"/>
                      <w:color w:val="auto"/>
                      <w:kern w:val="2"/>
                      <w:sz w:val="21"/>
                      <w:szCs w:val="21"/>
                      <w:highlight w:val="none"/>
                      <w:u w:val="none"/>
                      <w:lang w:val="en-US" w:eastAsia="zh-CN" w:bidi="ar-S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DejaVu Math TeX Gyre" w:hAnsi="DejaVu Math TeX Gyre" w:cs="黑体"/>
                      <w:color w:val="auto"/>
                      <w:kern w:val="2"/>
                      <w:sz w:val="21"/>
                      <w:szCs w:val="21"/>
                      <w:highlight w:val="none"/>
                      <w:u w:val="none"/>
                      <w:lang w:val="en-US" w:bidi="ar-SA"/>
                    </w:rPr>
                    <m:t>α</m:t>
                  </m:r>
                  <m:ctrlPr>
                    <w:rPr>
                      <w:rFonts w:hint="eastAsia" w:ascii="DejaVu Math TeX Gyre" w:hAnsi="DejaVu Math TeX Gyre" w:eastAsia="黑体" w:cs="黑体"/>
                      <w:b w:val="0"/>
                      <w:i w:val="0"/>
                      <w:color w:val="auto"/>
                      <w:kern w:val="2"/>
                      <w:sz w:val="21"/>
                      <w:szCs w:val="21"/>
                      <w:highlight w:val="none"/>
                      <w:u w:val="none"/>
                      <w:lang w:val="en-US" w:eastAsia="zh-CN" w:bidi="ar-SA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DejaVu Math TeX Gyre" w:hAnsi="DejaVu Math TeX Gyre" w:eastAsia="黑体" w:cs="黑体"/>
                      <w:color w:val="auto"/>
                      <w:kern w:val="2"/>
                      <w:sz w:val="21"/>
                      <w:szCs w:val="21"/>
                      <w:highlight w:val="none"/>
                      <w:u w:val="none"/>
                      <w:lang w:val="en-US" w:eastAsia="zh-CN" w:bidi="ar-SA"/>
                    </w:rPr>
                    <m:t>本地</m:t>
                  </m:r>
                  <m:ctrlPr>
                    <w:rPr>
                      <w:rFonts w:hint="eastAsia" w:ascii="DejaVu Math TeX Gyre" w:hAnsi="DejaVu Math TeX Gyre" w:eastAsia="黑体" w:cs="黑体"/>
                      <w:b w:val="0"/>
                      <w:i w:val="0"/>
                      <w:color w:val="auto"/>
                      <w:kern w:val="2"/>
                      <w:sz w:val="21"/>
                      <w:szCs w:val="21"/>
                      <w:highlight w:val="none"/>
                      <w:u w:val="none"/>
                      <w:lang w:val="en-US" w:eastAsia="zh-CN" w:bidi="ar-SA"/>
                    </w:rPr>
                  </m:ctrlPr>
                </m:sub>
              </m:sSub>
              <m:r>
                <m:rPr>
                  <m:sty m:val="p"/>
                </m:rPr>
                <w:rPr>
                  <w:rFonts w:hint="eastAsia" w:ascii="DejaVu Math TeX Gyre" w:hAnsi="DejaVu Math TeX Gyre" w:eastAsia="黑体" w:cs="黑体"/>
                  <w:color w:val="auto"/>
                  <w:kern w:val="2"/>
                  <w:sz w:val="21"/>
                  <w:szCs w:val="21"/>
                  <w:highlight w:val="none"/>
                  <w:u w:val="none"/>
                  <w:lang w:val="en-US" w:eastAsia="zh-CN" w:bidi="ar-SA"/>
                </w:rPr>
                <m:t>+</m:t>
              </m:r>
              <m:sSub>
                <m:sSubPr>
                  <m:ctrlPr>
                    <w:rPr>
                      <w:rFonts w:hint="eastAsia" w:ascii="DejaVu Math TeX Gyre" w:hAnsi="DejaVu Math TeX Gyre" w:eastAsia="黑体" w:cs="黑体"/>
                      <w:b w:val="0"/>
                      <w:color w:val="auto"/>
                      <w:kern w:val="2"/>
                      <w:sz w:val="21"/>
                      <w:szCs w:val="21"/>
                      <w:highlight w:val="none"/>
                      <w:u w:val="none"/>
                      <w:lang w:val="en-US" w:eastAsia="zh-CN" w:bidi="ar-S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DejaVu Math TeX Gyre" w:hAnsi="DejaVu Math TeX Gyre" w:cs="黑体"/>
                      <w:color w:val="auto"/>
                      <w:kern w:val="2"/>
                      <w:sz w:val="21"/>
                      <w:szCs w:val="21"/>
                      <w:highlight w:val="none"/>
                      <w:u w:val="none"/>
                      <w:lang w:val="en-US" w:bidi="ar-SA"/>
                    </w:rPr>
                    <m:t>β</m:t>
                  </m:r>
                  <m:ctrlPr>
                    <w:rPr>
                      <w:rFonts w:hint="eastAsia" w:ascii="DejaVu Math TeX Gyre" w:hAnsi="DejaVu Math TeX Gyre" w:eastAsia="黑体" w:cs="黑体"/>
                      <w:b w:val="0"/>
                      <w:i w:val="0"/>
                      <w:color w:val="auto"/>
                      <w:kern w:val="2"/>
                      <w:sz w:val="21"/>
                      <w:szCs w:val="21"/>
                      <w:highlight w:val="none"/>
                      <w:u w:val="none"/>
                      <w:lang w:val="en-US" w:eastAsia="zh-CN" w:bidi="ar-SA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DejaVu Math TeX Gyre" w:hAnsi="DejaVu Math TeX Gyre" w:eastAsia="黑体" w:cs="黑体"/>
                      <w:color w:val="auto"/>
                      <w:kern w:val="2"/>
                      <w:sz w:val="21"/>
                      <w:szCs w:val="21"/>
                      <w:highlight w:val="none"/>
                      <w:u w:val="none"/>
                      <w:lang w:val="en-US" w:eastAsia="zh-CN" w:bidi="ar-SA"/>
                    </w:rPr>
                    <m:t>本地</m:t>
                  </m:r>
                  <m:ctrlPr>
                    <w:rPr>
                      <w:rFonts w:hint="eastAsia" w:ascii="DejaVu Math TeX Gyre" w:hAnsi="DejaVu Math TeX Gyre" w:eastAsia="黑体" w:cs="黑体"/>
                      <w:b w:val="0"/>
                      <w:i w:val="0"/>
                      <w:color w:val="auto"/>
                      <w:kern w:val="2"/>
                      <w:sz w:val="21"/>
                      <w:szCs w:val="21"/>
                      <w:highlight w:val="none"/>
                      <w:u w:val="none"/>
                      <w:lang w:val="en-US" w:eastAsia="zh-CN" w:bidi="ar-SA"/>
                    </w:rPr>
                  </m:ctrlPr>
                </m:sub>
              </m:sSub>
              <m:ctrlPr>
                <w:rPr>
                  <w:rFonts w:hint="eastAsia" w:ascii="DejaVu Math TeX Gyre" w:hAnsi="DejaVu Math TeX Gyre" w:eastAsia="黑体" w:cs="黑体"/>
                  <w:b w:val="0"/>
                  <w:bCs w:val="0"/>
                  <w:color w:val="auto"/>
                  <w:kern w:val="2"/>
                  <w:sz w:val="21"/>
                  <w:szCs w:val="21"/>
                  <w:highlight w:val="none"/>
                  <w:u w:val="none"/>
                  <w:lang w:val="en-US" w:eastAsia="zh-CN" w:bidi="ar-SA"/>
                </w:rPr>
              </m:ctrlPr>
            </m:num>
            <m:den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hint="eastAsia" w:ascii="DejaVu Math TeX Gyre" w:hAnsi="DejaVu Math TeX Gyre" w:eastAsia="黑体" w:cs="黑体"/>
                      <w:b w:val="0"/>
                      <w:bCs w:val="0"/>
                      <w:color w:val="auto"/>
                      <w:kern w:val="2"/>
                      <w:sz w:val="21"/>
                      <w:szCs w:val="21"/>
                      <w:highlight w:val="none"/>
                      <w:u w:val="none"/>
                      <w:lang w:val="en-US" w:eastAsia="zh-CN" w:bidi="ar-SA"/>
                    </w:rPr>
                  </m:ctrlPr>
                </m:naryPr>
                <m:sub>
                  <m:ctrlPr>
                    <w:rPr>
                      <w:rFonts w:hint="eastAsia" w:ascii="DejaVu Math TeX Gyre" w:hAnsi="DejaVu Math TeX Gyre" w:eastAsia="黑体" w:cs="黑体"/>
                      <w:b w:val="0"/>
                      <w:bCs w:val="0"/>
                      <w:color w:val="auto"/>
                      <w:kern w:val="2"/>
                      <w:sz w:val="21"/>
                      <w:szCs w:val="21"/>
                      <w:highlight w:val="none"/>
                      <w:u w:val="none"/>
                      <w:lang w:val="en-US" w:eastAsia="zh-CN" w:bidi="ar-SA"/>
                    </w:rPr>
                  </m:ctrlPr>
                </m:sub>
                <m:sup>
                  <m:ctrlPr>
                    <w:rPr>
                      <w:rFonts w:hint="eastAsia" w:ascii="DejaVu Math TeX Gyre" w:hAnsi="DejaVu Math TeX Gyre" w:eastAsia="黑体" w:cs="黑体"/>
                      <w:b w:val="0"/>
                      <w:bCs w:val="0"/>
                      <w:color w:val="auto"/>
                      <w:kern w:val="2"/>
                      <w:sz w:val="21"/>
                      <w:szCs w:val="21"/>
                      <w:highlight w:val="none"/>
                      <w:u w:val="none"/>
                      <w:lang w:val="en-US" w:eastAsia="zh-CN" w:bidi="ar-SA"/>
                    </w:rPr>
                  </m:ctrlPr>
                </m:sup>
                <m:e>
                  <m:r>
                    <m:rPr>
                      <m:sty m:val="p"/>
                    </m:rPr>
                    <w:rPr>
                      <w:rFonts w:hint="eastAsia" w:ascii="DejaVu Math TeX Gyre" w:hAnsi="DejaVu Math TeX Gyre" w:eastAsia="黑体" w:cs="黑体"/>
                      <w:color w:val="auto"/>
                      <w:kern w:val="2"/>
                      <w:sz w:val="21"/>
                      <w:szCs w:val="21"/>
                      <w:highlight w:val="none"/>
                      <w:u w:val="none"/>
                      <w:lang w:val="en-US" w:eastAsia="zh-CN" w:bidi="ar-SA"/>
                    </w:rPr>
                    <m:t>（</m:t>
                  </m:r>
                  <m:sSub>
                    <m:sSubPr>
                      <m:ctrlPr>
                        <w:rPr>
                          <w:rFonts w:hint="eastAsia" w:ascii="DejaVu Math TeX Gyre" w:hAnsi="DejaVu Math TeX Gyre" w:eastAsia="黑体" w:cs="黑体"/>
                          <w:b w:val="0"/>
                          <w:color w:val="auto"/>
                          <w:kern w:val="2"/>
                          <w:sz w:val="21"/>
                          <w:szCs w:val="21"/>
                          <w:highlight w:val="none"/>
                          <w:u w:val="none"/>
                          <w:lang w:val="en-US" w:eastAsia="zh-CN" w:bidi="ar-SA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DejaVu Math TeX Gyre" w:hAnsi="DejaVu Math TeX Gyre" w:cs="黑体"/>
                          <w:color w:val="auto"/>
                          <w:kern w:val="2"/>
                          <w:sz w:val="21"/>
                          <w:szCs w:val="21"/>
                          <w:highlight w:val="none"/>
                          <w:u w:val="none"/>
                          <w:lang w:val="en-US" w:bidi="ar-SA"/>
                        </w:rPr>
                        <m:t>α</m:t>
                      </m:r>
                      <m:ctrlPr>
                        <w:rPr>
                          <w:rFonts w:hint="eastAsia" w:ascii="DejaVu Math TeX Gyre" w:hAnsi="DejaVu Math TeX Gyre" w:eastAsia="黑体" w:cs="黑体"/>
                          <w:b w:val="0"/>
                          <w:i w:val="0"/>
                          <w:color w:val="auto"/>
                          <w:kern w:val="2"/>
                          <w:sz w:val="21"/>
                          <w:szCs w:val="21"/>
                          <w:highlight w:val="none"/>
                          <w:u w:val="none"/>
                          <w:lang w:val="en-US" w:eastAsia="zh-CN" w:bidi="ar-SA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eastAsia" w:ascii="DejaVu Math TeX Gyre" w:hAnsi="DejaVu Math TeX Gyre" w:eastAsia="黑体" w:cs="黑体"/>
                          <w:color w:val="auto"/>
                          <w:kern w:val="2"/>
                          <w:sz w:val="21"/>
                          <w:szCs w:val="21"/>
                          <w:highlight w:val="none"/>
                          <w:u w:val="none"/>
                          <w:lang w:val="en-US" w:eastAsia="zh-CN" w:bidi="ar-SA"/>
                        </w:rPr>
                        <m:t>参评地</m:t>
                      </m:r>
                      <m:ctrlPr>
                        <w:rPr>
                          <w:rFonts w:hint="eastAsia" w:ascii="DejaVu Math TeX Gyre" w:hAnsi="DejaVu Math TeX Gyre" w:eastAsia="黑体" w:cs="黑体"/>
                          <w:b w:val="0"/>
                          <w:i w:val="0"/>
                          <w:color w:val="auto"/>
                          <w:kern w:val="2"/>
                          <w:sz w:val="21"/>
                          <w:szCs w:val="21"/>
                          <w:highlight w:val="none"/>
                          <w:u w:val="none"/>
                          <w:lang w:val="en-US" w:eastAsia="zh-CN" w:bidi="ar-SA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eastAsia" w:ascii="DejaVu Math TeX Gyre" w:hAnsi="DejaVu Math TeX Gyre" w:eastAsia="黑体" w:cs="黑体"/>
                      <w:color w:val="auto"/>
                      <w:kern w:val="2"/>
                      <w:sz w:val="21"/>
                      <w:szCs w:val="21"/>
                      <w:highlight w:val="none"/>
                      <w:u w:val="none"/>
                      <w:lang w:val="en-US" w:eastAsia="zh-CN" w:bidi="ar-SA"/>
                    </w:rPr>
                    <m:t>+</m:t>
                  </m:r>
                  <m:sSub>
                    <m:sSubPr>
                      <m:ctrlPr>
                        <w:rPr>
                          <w:rFonts w:hint="eastAsia" w:ascii="DejaVu Math TeX Gyre" w:hAnsi="DejaVu Math TeX Gyre" w:eastAsia="黑体" w:cs="黑体"/>
                          <w:b w:val="0"/>
                          <w:color w:val="auto"/>
                          <w:kern w:val="2"/>
                          <w:sz w:val="21"/>
                          <w:szCs w:val="21"/>
                          <w:highlight w:val="none"/>
                          <w:u w:val="none"/>
                          <w:lang w:val="en-US" w:eastAsia="zh-CN" w:bidi="ar-SA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DejaVu Math TeX Gyre" w:hAnsi="DejaVu Math TeX Gyre" w:cs="黑体"/>
                          <w:color w:val="auto"/>
                          <w:kern w:val="2"/>
                          <w:sz w:val="21"/>
                          <w:szCs w:val="21"/>
                          <w:highlight w:val="none"/>
                          <w:u w:val="none"/>
                          <w:lang w:val="en-US" w:bidi="ar-SA"/>
                        </w:rPr>
                        <m:t>β</m:t>
                      </m:r>
                      <m:ctrlPr>
                        <w:rPr>
                          <w:rFonts w:hint="eastAsia" w:ascii="DejaVu Math TeX Gyre" w:hAnsi="DejaVu Math TeX Gyre" w:eastAsia="黑体" w:cs="黑体"/>
                          <w:b w:val="0"/>
                          <w:i w:val="0"/>
                          <w:color w:val="auto"/>
                          <w:kern w:val="2"/>
                          <w:sz w:val="21"/>
                          <w:szCs w:val="21"/>
                          <w:highlight w:val="none"/>
                          <w:u w:val="none"/>
                          <w:lang w:val="en-US" w:eastAsia="zh-CN" w:bidi="ar-SA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DejaVu Math TeX Gyre" w:hAnsi="DejaVu Math TeX Gyre" w:eastAsia="黑体" w:cs="黑体"/>
                          <w:color w:val="auto"/>
                          <w:kern w:val="2"/>
                          <w:sz w:val="21"/>
                          <w:szCs w:val="21"/>
                          <w:highlight w:val="none"/>
                          <w:u w:val="none"/>
                          <w:lang w:val="en-US" w:eastAsia="zh-CN" w:bidi="ar-SA"/>
                        </w:rPr>
                        <m:t>参评地</m:t>
                      </m:r>
                      <m:ctrlPr>
                        <w:rPr>
                          <w:rFonts w:hint="eastAsia" w:ascii="DejaVu Math TeX Gyre" w:hAnsi="DejaVu Math TeX Gyre" w:eastAsia="黑体" w:cs="黑体"/>
                          <w:b w:val="0"/>
                          <w:i w:val="0"/>
                          <w:color w:val="auto"/>
                          <w:kern w:val="2"/>
                          <w:sz w:val="21"/>
                          <w:szCs w:val="21"/>
                          <w:highlight w:val="none"/>
                          <w:u w:val="none"/>
                          <w:lang w:val="en-US" w:eastAsia="zh-CN" w:bidi="ar-SA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eastAsia" w:ascii="DejaVu Math TeX Gyre" w:hAnsi="DejaVu Math TeX Gyre" w:eastAsia="黑体" w:cs="黑体"/>
                      <w:color w:val="auto"/>
                      <w:kern w:val="2"/>
                      <w:sz w:val="21"/>
                      <w:szCs w:val="21"/>
                      <w:highlight w:val="none"/>
                      <w:u w:val="none"/>
                      <w:lang w:val="en-US" w:eastAsia="zh-CN" w:bidi="ar-SA"/>
                    </w:rPr>
                    <m:t>）</m:t>
                  </m:r>
                  <m:ctrlPr>
                    <w:rPr>
                      <w:rFonts w:hint="eastAsia" w:ascii="DejaVu Math TeX Gyre" w:hAnsi="DejaVu Math TeX Gyre" w:eastAsia="黑体" w:cs="黑体"/>
                      <w:b w:val="0"/>
                      <w:bCs w:val="0"/>
                      <w:color w:val="auto"/>
                      <w:kern w:val="2"/>
                      <w:sz w:val="21"/>
                      <w:szCs w:val="21"/>
                      <w:highlight w:val="none"/>
                      <w:u w:val="none"/>
                      <w:lang w:val="en-US" w:eastAsia="zh-CN" w:bidi="ar-SA"/>
                    </w:rPr>
                  </m:ctrlPr>
                </m:e>
              </m:nary>
              <m:ctrlPr>
                <w:rPr>
                  <w:rFonts w:hint="eastAsia" w:ascii="DejaVu Math TeX Gyre" w:hAnsi="DejaVu Math TeX Gyre" w:eastAsia="黑体" w:cs="黑体"/>
                  <w:b w:val="0"/>
                  <w:bCs w:val="0"/>
                  <w:color w:val="auto"/>
                  <w:kern w:val="2"/>
                  <w:sz w:val="21"/>
                  <w:szCs w:val="21"/>
                  <w:highlight w:val="none"/>
                  <w:u w:val="none"/>
                  <w:lang w:val="en-US" w:eastAsia="zh-CN" w:bidi="ar-SA"/>
                </w:rPr>
              </m:ctrlPr>
            </m:den>
          </m:f>
          <m:r>
            <m:rPr>
              <m:sty m:val="p"/>
            </m:rPr>
            <w:rPr>
              <w:rFonts w:hint="eastAsia" w:ascii="DejaVu Math TeX Gyre" w:hAnsi="DejaVu Math TeX Gyre" w:eastAsia="黑体" w:cs="黑体"/>
              <w:color w:val="auto"/>
              <w:kern w:val="2"/>
              <w:sz w:val="21"/>
              <w:szCs w:val="21"/>
              <w:highlight w:val="none"/>
              <w:u w:val="none"/>
              <w:lang w:val="en-US" w:bidi="ar-SA"/>
            </w:rPr>
            <m:t>×</m:t>
          </m:r>
          <m:d>
            <m:dPr>
              <m:ctrlPr>
                <w:rPr>
                  <w:rFonts w:hint="eastAsia" w:ascii="DejaVu Math TeX Gyre" w:hAnsi="DejaVu Math TeX Gyre" w:eastAsia="黑体" w:cs="黑体"/>
                  <w:b w:val="0"/>
                  <w:i w:val="0"/>
                  <w:color w:val="auto"/>
                  <w:kern w:val="2"/>
                  <w:sz w:val="21"/>
                  <w:szCs w:val="21"/>
                  <w:highlight w:val="none"/>
                  <w:u w:val="none"/>
                  <w:lang w:val="en-US" w:bidi="ar-SA"/>
                </w:rPr>
              </m:ctrlPr>
            </m:dPr>
            <m:e>
              <m:r>
                <m:rPr>
                  <m:sty m:val="p"/>
                </m:rPr>
                <w:rPr>
                  <w:rFonts w:hint="default" w:ascii="DejaVu Math TeX Gyre" w:hAnsi="DejaVu Math TeX Gyre" w:eastAsia="黑体" w:cs="黑体"/>
                  <w:color w:val="auto"/>
                  <w:kern w:val="2"/>
                  <w:sz w:val="21"/>
                  <w:szCs w:val="21"/>
                  <w:highlight w:val="none"/>
                  <w:u w:val="none"/>
                  <w:lang w:val="en-US" w:eastAsia="zh-CN" w:bidi="ar-SA"/>
                </w:rPr>
                <m:t>省财政奖补资金</m:t>
              </m:r>
              <m:r>
                <m:rPr>
                  <m:sty m:val="p"/>
                </m:rPr>
                <w:rPr>
                  <w:rFonts w:ascii="DejaVu Math TeX Gyre" w:hAnsi="DejaVu Math TeX Gyre" w:cs="黑体"/>
                  <w:color w:val="auto"/>
                  <w:kern w:val="2"/>
                  <w:sz w:val="21"/>
                  <w:szCs w:val="21"/>
                  <w:highlight w:val="none"/>
                  <w:u w:val="none"/>
                  <w:lang w:val="en-US" w:bidi="ar-SA"/>
                </w:rPr>
                <m:t>×</m:t>
              </m:r>
              <m:r>
                <m:rPr>
                  <m:sty m:val="p"/>
                </m:rPr>
                <w:rPr>
                  <w:rFonts w:hint="default" w:ascii="DejaVu Math TeX Gyre" w:hAnsi="DejaVu Math TeX Gyre" w:cs="黑体"/>
                  <w:color w:val="auto"/>
                  <w:kern w:val="2"/>
                  <w:sz w:val="21"/>
                  <w:szCs w:val="21"/>
                  <w:highlight w:val="none"/>
                  <w:u w:val="none"/>
                  <w:lang w:val="en-US" w:eastAsia="zh-CN" w:bidi="ar-SA"/>
                </w:rPr>
                <m:t>60%</m:t>
              </m:r>
              <m:r>
                <m:rPr>
                  <m:sty m:val="p"/>
                </m:rPr>
                <w:rPr>
                  <w:rFonts w:hint="default" w:ascii="DejaVu Math TeX Gyre" w:hAnsi="DejaVu Math TeX Gyre" w:eastAsia="黑体" w:cs="黑体"/>
                  <w:color w:val="auto"/>
                  <w:kern w:val="2"/>
                  <w:sz w:val="21"/>
                  <w:szCs w:val="21"/>
                  <w:highlight w:val="none"/>
                  <w:u w:val="none"/>
                  <w:lang w:val="en-US" w:eastAsia="zh-CN" w:bidi="ar-SA"/>
                </w:rPr>
                <m:t>+扣款资金</m:t>
              </m:r>
              <m:r>
                <m:rPr>
                  <m:sty m:val="p"/>
                </m:rPr>
                <w:rPr>
                  <w:rFonts w:hint="eastAsia" w:ascii="DejaVu Math TeX Gyre" w:hAnsi="DejaVu Math TeX Gyre" w:eastAsia="黑体" w:cs="黑体"/>
                  <w:color w:val="auto"/>
                  <w:kern w:val="2"/>
                  <w:sz w:val="21"/>
                  <w:szCs w:val="21"/>
                  <w:highlight w:val="none"/>
                  <w:u w:val="none"/>
                  <w:lang w:val="en-US" w:bidi="ar-SA"/>
                </w:rPr>
                <m:t>×</m:t>
              </m:r>
              <m:r>
                <m:rPr>
                  <m:sty m:val="p"/>
                </m:rPr>
                <w:rPr>
                  <w:rFonts w:hint="default" w:ascii="DejaVu Math TeX Gyre" w:hAnsi="DejaVu Math TeX Gyre" w:eastAsia="黑体" w:cs="黑体"/>
                  <w:color w:val="auto"/>
                  <w:kern w:val="2"/>
                  <w:sz w:val="21"/>
                  <w:szCs w:val="21"/>
                  <w:highlight w:val="none"/>
                  <w:u w:val="none"/>
                  <w:lang w:val="en-US" w:eastAsia="zh-CN" w:bidi="ar-SA"/>
                </w:rPr>
                <m:t>40%</m:t>
              </m:r>
              <m:ctrlPr>
                <w:rPr>
                  <w:rFonts w:hint="eastAsia" w:ascii="DejaVu Math TeX Gyre" w:hAnsi="DejaVu Math TeX Gyre" w:eastAsia="黑体" w:cs="黑体"/>
                  <w:b w:val="0"/>
                  <w:i w:val="0"/>
                  <w:color w:val="auto"/>
                  <w:kern w:val="2"/>
                  <w:sz w:val="21"/>
                  <w:szCs w:val="21"/>
                  <w:highlight w:val="none"/>
                  <w:u w:val="none"/>
                  <w:lang w:val="en-US" w:bidi="ar-SA"/>
                </w:rPr>
              </m:ctrlPr>
            </m:e>
          </m:d>
        </m:oMath>
      </m:oMathPara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313" w:afterLines="100" w:line="360" w:lineRule="auto"/>
        <w:ind w:firstLine="42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  <w:t>当参评地PM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1"/>
          <w:szCs w:val="21"/>
          <w:highlight w:val="none"/>
          <w:u w:val="none"/>
          <w:vertAlign w:val="subscript"/>
          <w:lang w:val="en-US" w:eastAsia="zh-CN" w:bidi="ar-SA"/>
        </w:rPr>
        <w:t>2.5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  <w:t>年平均浓度为25微克/立方米以下（含）时，其α=NOx累计减排量（吨）</w:t>
      </w:r>
      <m:oMath>
        <m:r>
          <m:rPr>
            <m:sty m:val="p"/>
          </m:rPr>
          <w:rPr>
            <w:rFonts w:hint="eastAsia" w:ascii="DejaVu Math TeX Gyre" w:hAnsi="DejaVu Math TeX Gyre" w:eastAsia="仿宋_GB2312" w:cs="仿宋_GB2312"/>
            <w:color w:val="auto"/>
            <w:kern w:val="2"/>
            <w:sz w:val="21"/>
            <w:szCs w:val="21"/>
            <w:highlight w:val="none"/>
            <w:u w:val="none"/>
            <w:lang w:val="en-US" w:bidi="ar-SA"/>
          </w:rPr>
          <m:t>×</m:t>
        </m:r>
      </m:oMath>
      <w:r>
        <w:rPr>
          <w:rFonts w:hint="eastAsia" w:ascii="仿宋_GB2312" w:hAnsi="仿宋_GB2312" w:eastAsia="仿宋_GB2312" w:cs="仿宋_GB2312"/>
          <w:b w:val="0"/>
          <w:i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  <w:t>（1-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  <w:t>PM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1"/>
          <w:szCs w:val="21"/>
          <w:highlight w:val="none"/>
          <w:u w:val="none"/>
          <w:vertAlign w:val="subscript"/>
          <w:lang w:val="en-US" w:eastAsia="zh-CN" w:bidi="ar-SA"/>
        </w:rPr>
        <w:t>2.5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  <w:t>年平均浓度同比变化率</w:t>
      </w:r>
      <w:r>
        <w:rPr>
          <w:rFonts w:hint="eastAsia" w:ascii="仿宋_GB2312" w:hAnsi="仿宋_GB2312" w:eastAsia="仿宋_GB2312" w:cs="仿宋_GB2312"/>
          <w:b w:val="0"/>
          <w:i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  <w:t>），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  <w:t>β=VOCs累计减排量（吨）</w:t>
      </w:r>
      <m:oMath>
        <m:r>
          <m:rPr>
            <m:sty m:val="p"/>
          </m:rPr>
          <w:rPr>
            <w:rFonts w:hint="eastAsia" w:ascii="DejaVu Math TeX Gyre" w:hAnsi="DejaVu Math TeX Gyre" w:eastAsia="仿宋_GB2312" w:cs="仿宋_GB2312"/>
            <w:color w:val="auto"/>
            <w:kern w:val="2"/>
            <w:sz w:val="21"/>
            <w:szCs w:val="21"/>
            <w:highlight w:val="none"/>
            <w:u w:val="none"/>
            <w:lang w:val="en-US" w:bidi="ar-SA"/>
          </w:rPr>
          <m:t>×</m:t>
        </m:r>
      </m:oMath>
      <w:r>
        <w:rPr>
          <w:rFonts w:hint="eastAsia" w:ascii="仿宋_GB2312" w:hAnsi="仿宋_GB2312" w:eastAsia="仿宋_GB2312" w:cs="仿宋_GB2312"/>
          <w:b w:val="0"/>
          <w:i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  <w:t>（1-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  <w:t>PM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1"/>
          <w:szCs w:val="21"/>
          <w:highlight w:val="none"/>
          <w:u w:val="none"/>
          <w:vertAlign w:val="subscript"/>
          <w:lang w:val="en-US" w:eastAsia="zh-CN" w:bidi="ar-SA"/>
        </w:rPr>
        <w:t>2.5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  <w:t>年平均浓度同比变化率</w:t>
      </w:r>
      <w:r>
        <w:rPr>
          <w:rFonts w:hint="eastAsia" w:ascii="仿宋_GB2312" w:hAnsi="仿宋_GB2312" w:eastAsia="仿宋_GB2312" w:cs="仿宋_GB2312"/>
          <w:b w:val="0"/>
          <w:i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  <w:t>）；当参评地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  <w:t>PM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1"/>
          <w:szCs w:val="21"/>
          <w:highlight w:val="none"/>
          <w:u w:val="none"/>
          <w:vertAlign w:val="subscript"/>
          <w:lang w:val="en-US" w:eastAsia="zh-CN" w:bidi="ar-SA"/>
        </w:rPr>
        <w:t>2.5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  <w:t>年平均浓度为20微克/立方米以下（含）时，其系数α和β翻倍。NOx和VOCs减排量使用国家核定数据，保留至整数位；PM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1"/>
          <w:szCs w:val="21"/>
          <w:highlight w:val="none"/>
          <w:u w:val="none"/>
          <w:vertAlign w:val="subscript"/>
          <w:lang w:val="en-US" w:eastAsia="zh-CN" w:bidi="ar-SA"/>
        </w:rPr>
        <w:t>2.5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  <w:t>年平均浓度同比变化率取至0.1%。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</w:pPr>
      <m:oMath>
        <m:r>
          <m:rPr>
            <m:sty m:val="p"/>
          </m:rPr>
          <w:rPr>
            <w:rFonts w:hint="default" w:ascii="DejaVu Math TeX Gyre" w:hAnsi="DejaVu Math TeX Gyre" w:eastAsia="黑体" w:cs="黑体"/>
            <w:color w:val="auto"/>
            <w:kern w:val="2"/>
            <w:sz w:val="21"/>
            <w:szCs w:val="21"/>
            <w:highlight w:val="none"/>
            <w:u w:val="none"/>
            <w:lang w:val="en-US" w:eastAsia="zh-CN" w:bidi="ar-SA"/>
          </w:rPr>
          <m:t>达标</m:t>
        </m:r>
        <m:r>
          <m:rPr>
            <m:sty m:val="p"/>
          </m:rPr>
          <w:rPr>
            <w:rFonts w:hint="eastAsia" w:ascii="DejaVu Math TeX Gyre" w:hAnsi="DejaVu Math TeX Gyre" w:eastAsia="黑体" w:cs="黑体"/>
            <w:color w:val="auto"/>
            <w:kern w:val="2"/>
            <w:sz w:val="21"/>
            <w:szCs w:val="21"/>
            <w:highlight w:val="none"/>
            <w:u w:val="none"/>
            <w:lang w:val="en-US" w:eastAsia="zh-CN" w:bidi="ar-SA"/>
          </w:rPr>
          <m:t>补偿</m:t>
        </m:r>
        <m:r>
          <m:rPr>
            <m:sty m:val="p"/>
          </m:rPr>
          <w:rPr>
            <w:rFonts w:hint="default" w:ascii="DejaVu Math TeX Gyre" w:hAnsi="DejaVu Math TeX Gyre" w:eastAsia="黑体" w:cs="黑体"/>
            <w:color w:val="auto"/>
            <w:kern w:val="2"/>
            <w:sz w:val="21"/>
            <w:szCs w:val="21"/>
            <w:highlight w:val="none"/>
            <w:u w:val="none"/>
            <w:lang w:val="en-US" w:eastAsia="zh-CN" w:bidi="ar-SA"/>
          </w:rPr>
          <m:t>资金</m:t>
        </m:r>
        <m:r>
          <m:rPr>
            <m:sty m:val="p"/>
          </m:rPr>
          <w:rPr>
            <w:rFonts w:hint="eastAsia" w:ascii="DejaVu Math TeX Gyre" w:hAnsi="DejaVu Math TeX Gyre" w:eastAsia="仿宋_GB2312" w:cs="仿宋_GB2312"/>
            <w:color w:val="auto"/>
            <w:kern w:val="2"/>
            <w:sz w:val="21"/>
            <w:szCs w:val="21"/>
            <w:highlight w:val="none"/>
            <w:u w:val="none"/>
            <w:lang w:val="en-US" w:eastAsia="zh-CN" w:bidi="ar-SA"/>
          </w:rPr>
          <m:t>=</m:t>
        </m:r>
        <m:f>
          <m:fPr>
            <m:ctrlPr>
              <w:rPr>
                <w:rFonts w:hint="eastAsia" w:ascii="DejaVu Math TeX Gyre" w:hAnsi="DejaVu Math TeX Gyre" w:eastAsia="黑体" w:cs="黑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m:ctrlPr>
          </m:fPr>
          <m:num>
            <m:sSub>
              <m:sSubPr>
                <m:ctrlPr>
                  <w:rPr>
                    <w:rFonts w:hint="eastAsia" w:ascii="DejaVu Math TeX Gyre" w:hAnsi="DejaVu Math TeX Gyre" w:eastAsia="黑体" w:cs="黑体"/>
                    <w:b w:val="0"/>
                    <w:color w:val="auto"/>
                    <w:kern w:val="2"/>
                    <w:sz w:val="21"/>
                    <w:szCs w:val="21"/>
                    <w:highlight w:val="none"/>
                    <w:u w:val="none"/>
                    <w:lang w:val="en-US" w:eastAsia="zh-CN" w:bidi="ar-S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DejaVu Math TeX Gyre" w:hAnsi="DejaVu Math TeX Gyre" w:cs="黑体"/>
                    <w:color w:val="auto"/>
                    <w:kern w:val="2"/>
                    <w:sz w:val="21"/>
                    <w:szCs w:val="21"/>
                    <w:highlight w:val="none"/>
                    <w:u w:val="none"/>
                    <w:lang w:val="en-US" w:bidi="ar-SA"/>
                  </w:rPr>
                  <m:t>γ</m:t>
                </m:r>
                <m:ctrlPr>
                  <w:rPr>
                    <w:rFonts w:hint="eastAsia" w:ascii="DejaVu Math TeX Gyre" w:hAnsi="DejaVu Math TeX Gyre" w:eastAsia="黑体" w:cs="黑体"/>
                    <w:b w:val="0"/>
                    <w:i w:val="0"/>
                    <w:color w:val="auto"/>
                    <w:kern w:val="2"/>
                    <w:sz w:val="21"/>
                    <w:szCs w:val="21"/>
                    <w:highlight w:val="none"/>
                    <w:u w:val="none"/>
                    <w:lang w:val="en-US" w:eastAsia="zh-CN" w:bidi="ar-SA"/>
                  </w:rPr>
                </m:ctrlPr>
              </m:e>
              <m:sub>
                <m:r>
                  <m:rPr>
                    <m:sty m:val="p"/>
                  </m:rPr>
                  <w:rPr>
                    <w:rFonts w:hint="default" w:ascii="DejaVu Math TeX Gyre" w:hAnsi="DejaVu Math TeX Gyre" w:eastAsia="黑体" w:cs="黑体"/>
                    <w:color w:val="auto"/>
                    <w:kern w:val="2"/>
                    <w:sz w:val="21"/>
                    <w:szCs w:val="21"/>
                    <w:highlight w:val="none"/>
                    <w:u w:val="none"/>
                    <w:lang w:val="en-US" w:eastAsia="zh-CN" w:bidi="ar-SA"/>
                  </w:rPr>
                  <m:t>本地</m:t>
                </m:r>
                <m:ctrlPr>
                  <w:rPr>
                    <w:rFonts w:hint="eastAsia" w:ascii="DejaVu Math TeX Gyre" w:hAnsi="DejaVu Math TeX Gyre" w:eastAsia="黑体" w:cs="黑体"/>
                    <w:b w:val="0"/>
                    <w:i w:val="0"/>
                    <w:color w:val="auto"/>
                    <w:kern w:val="2"/>
                    <w:sz w:val="21"/>
                    <w:szCs w:val="21"/>
                    <w:highlight w:val="none"/>
                    <w:u w:val="none"/>
                    <w:lang w:val="en-US" w:eastAsia="zh-CN" w:bidi="ar-SA"/>
                  </w:rPr>
                </m:ctrlPr>
              </m:sub>
            </m:sSub>
            <m:r>
              <m:rPr>
                <m:sty m:val="p"/>
              </m:rPr>
              <w:rPr>
                <w:rFonts w:hint="eastAsia" w:ascii="DejaVu Math TeX Gyre" w:hAnsi="DejaVu Math TeX Gyre" w:eastAsia="黑体" w:cs="黑体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m:t>−</m:t>
            </m:r>
            <m:sSub>
              <m:sSubPr>
                <m:ctrlPr>
                  <w:rPr>
                    <w:rFonts w:hint="eastAsia" w:ascii="DejaVu Math TeX Gyre" w:hAnsi="DejaVu Math TeX Gyre" w:eastAsia="黑体" w:cs="黑体"/>
                    <w:b w:val="0"/>
                    <w:color w:val="auto"/>
                    <w:kern w:val="2"/>
                    <w:sz w:val="21"/>
                    <w:szCs w:val="21"/>
                    <w:highlight w:val="none"/>
                    <w:u w:val="none"/>
                    <w:lang w:val="en-US" w:eastAsia="zh-CN" w:bidi="ar-S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DejaVu Math TeX Gyre" w:hAnsi="DejaVu Math TeX Gyre" w:cs="黑体"/>
                    <w:color w:val="auto"/>
                    <w:kern w:val="2"/>
                    <w:sz w:val="21"/>
                    <w:szCs w:val="21"/>
                    <w:highlight w:val="none"/>
                    <w:u w:val="none"/>
                    <w:lang w:val="en-US" w:bidi="ar-SA"/>
                  </w:rPr>
                  <m:t>δ</m:t>
                </m:r>
                <m:ctrlPr>
                  <w:rPr>
                    <w:rFonts w:hint="eastAsia" w:ascii="DejaVu Math TeX Gyre" w:hAnsi="DejaVu Math TeX Gyre" w:eastAsia="黑体" w:cs="黑体"/>
                    <w:b w:val="0"/>
                    <w:i w:val="0"/>
                    <w:color w:val="auto"/>
                    <w:kern w:val="2"/>
                    <w:sz w:val="21"/>
                    <w:szCs w:val="21"/>
                    <w:highlight w:val="none"/>
                    <w:u w:val="none"/>
                    <w:lang w:val="en-US" w:eastAsia="zh-CN" w:bidi="ar-SA"/>
                  </w:rPr>
                </m:ctrlPr>
              </m:e>
              <m:sub>
                <m:r>
                  <m:rPr>
                    <m:sty m:val="p"/>
                  </m:rPr>
                  <w:rPr>
                    <w:rFonts w:hint="default" w:ascii="DejaVu Math TeX Gyre" w:hAnsi="DejaVu Math TeX Gyre" w:eastAsia="黑体" w:cs="黑体"/>
                    <w:color w:val="auto"/>
                    <w:kern w:val="2"/>
                    <w:sz w:val="21"/>
                    <w:szCs w:val="21"/>
                    <w:highlight w:val="none"/>
                    <w:u w:val="none"/>
                    <w:lang w:val="en-US" w:eastAsia="zh-CN" w:bidi="ar-SA"/>
                  </w:rPr>
                  <m:t>本地</m:t>
                </m:r>
                <m:ctrlPr>
                  <w:rPr>
                    <w:rFonts w:hint="eastAsia" w:ascii="DejaVu Math TeX Gyre" w:hAnsi="DejaVu Math TeX Gyre" w:eastAsia="黑体" w:cs="黑体"/>
                    <w:b w:val="0"/>
                    <w:i w:val="0"/>
                    <w:color w:val="auto"/>
                    <w:kern w:val="2"/>
                    <w:sz w:val="21"/>
                    <w:szCs w:val="21"/>
                    <w:highlight w:val="none"/>
                    <w:u w:val="none"/>
                    <w:lang w:val="en-US" w:eastAsia="zh-CN" w:bidi="ar-SA"/>
                  </w:rPr>
                </m:ctrlPr>
              </m:sub>
            </m:sSub>
            <m:ctrlPr>
              <w:rPr>
                <w:rFonts w:hint="eastAsia" w:ascii="DejaVu Math TeX Gyre" w:hAnsi="DejaVu Math TeX Gyre" w:eastAsia="黑体" w:cs="黑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m:ctrlPr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hint="eastAsia" w:ascii="DejaVu Math TeX Gyre" w:hAnsi="DejaVu Math TeX Gyre" w:eastAsia="黑体" w:cs="黑体"/>
                    <w:b w:val="0"/>
                    <w:bCs w:val="0"/>
                    <w:color w:val="auto"/>
                    <w:kern w:val="2"/>
                    <w:sz w:val="21"/>
                    <w:szCs w:val="21"/>
                    <w:highlight w:val="none"/>
                    <w:u w:val="none"/>
                    <w:lang w:val="en-US" w:eastAsia="zh-CN" w:bidi="ar-SA"/>
                  </w:rPr>
                </m:ctrlPr>
              </m:naryPr>
              <m:sub>
                <m:ctrlPr>
                  <w:rPr>
                    <w:rFonts w:hint="eastAsia" w:ascii="DejaVu Math TeX Gyre" w:hAnsi="DejaVu Math TeX Gyre" w:eastAsia="黑体" w:cs="黑体"/>
                    <w:b w:val="0"/>
                    <w:bCs w:val="0"/>
                    <w:color w:val="auto"/>
                    <w:kern w:val="2"/>
                    <w:sz w:val="21"/>
                    <w:szCs w:val="21"/>
                    <w:highlight w:val="none"/>
                    <w:u w:val="none"/>
                    <w:lang w:val="en-US" w:eastAsia="zh-CN" w:bidi="ar-SA"/>
                  </w:rPr>
                </m:ctrlPr>
              </m:sub>
              <m:sup>
                <m:ctrlPr>
                  <w:rPr>
                    <w:rFonts w:hint="eastAsia" w:ascii="DejaVu Math TeX Gyre" w:hAnsi="DejaVu Math TeX Gyre" w:eastAsia="黑体" w:cs="黑体"/>
                    <w:b w:val="0"/>
                    <w:bCs w:val="0"/>
                    <w:color w:val="auto"/>
                    <w:kern w:val="2"/>
                    <w:sz w:val="21"/>
                    <w:szCs w:val="21"/>
                    <w:highlight w:val="none"/>
                    <w:u w:val="none"/>
                    <w:lang w:val="en-US" w:eastAsia="zh-CN" w:bidi="ar-SA"/>
                  </w:rPr>
                </m:ctrlPr>
              </m:sup>
              <m:e>
                <m:r>
                  <m:rPr>
                    <m:sty m:val="p"/>
                  </m:rPr>
                  <w:rPr>
                    <w:rFonts w:hint="eastAsia" w:ascii="DejaVu Math TeX Gyre" w:hAnsi="DejaVu Math TeX Gyre" w:eastAsia="黑体" w:cs="黑体"/>
                    <w:color w:val="auto"/>
                    <w:kern w:val="2"/>
                    <w:sz w:val="21"/>
                    <w:szCs w:val="21"/>
                    <w:highlight w:val="none"/>
                    <w:u w:val="none"/>
                    <w:lang w:val="en-US" w:eastAsia="zh-CN" w:bidi="ar-SA"/>
                  </w:rPr>
                  <m:t>（</m:t>
                </m:r>
                <m:sSub>
                  <m:sSubPr>
                    <m:ctrlPr>
                      <w:rPr>
                        <w:rFonts w:hint="eastAsia" w:ascii="DejaVu Math TeX Gyre" w:hAnsi="DejaVu Math TeX Gyre" w:eastAsia="黑体" w:cs="黑体"/>
                        <w:b w:val="0"/>
                        <w:color w:val="auto"/>
                        <w:kern w:val="2"/>
                        <w:sz w:val="21"/>
                        <w:szCs w:val="21"/>
                        <w:highlight w:val="none"/>
                        <w:u w:val="none"/>
                        <w:lang w:val="en-US" w:eastAsia="zh-CN" w:bidi="ar-S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DejaVu Math TeX Gyre" w:hAnsi="DejaVu Math TeX Gyre" w:cs="黑体"/>
                        <w:color w:val="auto"/>
                        <w:kern w:val="2"/>
                        <w:sz w:val="21"/>
                        <w:szCs w:val="21"/>
                        <w:highlight w:val="none"/>
                        <w:u w:val="none"/>
                        <w:lang w:val="en-US" w:bidi="ar-SA"/>
                      </w:rPr>
                      <m:t>γ</m:t>
                    </m:r>
                    <m:ctrlPr>
                      <w:rPr>
                        <w:rFonts w:hint="eastAsia" w:ascii="DejaVu Math TeX Gyre" w:hAnsi="DejaVu Math TeX Gyre" w:eastAsia="黑体" w:cs="黑体"/>
                        <w:b w:val="0"/>
                        <w:i w:val="0"/>
                        <w:color w:val="auto"/>
                        <w:kern w:val="2"/>
                        <w:sz w:val="21"/>
                        <w:szCs w:val="21"/>
                        <w:highlight w:val="none"/>
                        <w:u w:val="none"/>
                        <w:lang w:val="en-US" w:eastAsia="zh-CN" w:bidi="ar-SA"/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hint="default" w:ascii="DejaVu Math TeX Gyre" w:hAnsi="DejaVu Math TeX Gyre" w:eastAsia="黑体" w:cs="黑体"/>
                        <w:color w:val="auto"/>
                        <w:kern w:val="2"/>
                        <w:sz w:val="21"/>
                        <w:szCs w:val="21"/>
                        <w:highlight w:val="none"/>
                        <w:u w:val="none"/>
                        <w:lang w:val="en-US" w:eastAsia="zh-CN" w:bidi="ar-SA"/>
                      </w:rPr>
                      <m:t>参评地</m:t>
                    </m:r>
                    <m:ctrlPr>
                      <w:rPr>
                        <w:rFonts w:hint="eastAsia" w:ascii="DejaVu Math TeX Gyre" w:hAnsi="DejaVu Math TeX Gyre" w:eastAsia="黑体" w:cs="黑体"/>
                        <w:b w:val="0"/>
                        <w:i w:val="0"/>
                        <w:color w:val="auto"/>
                        <w:kern w:val="2"/>
                        <w:sz w:val="21"/>
                        <w:szCs w:val="21"/>
                        <w:highlight w:val="none"/>
                        <w:u w:val="none"/>
                        <w:lang w:val="en-US" w:eastAsia="zh-CN" w:bidi="ar-SA"/>
                      </w:rPr>
                    </m:ctrlPr>
                  </m:sub>
                </m:sSub>
                <m:r>
                  <m:rPr>
                    <m:sty m:val="p"/>
                  </m:rPr>
                  <w:rPr>
                    <w:rFonts w:hint="eastAsia" w:ascii="DejaVu Math TeX Gyre" w:hAnsi="DejaVu Math TeX Gyre" w:eastAsia="黑体" w:cs="黑体"/>
                    <w:color w:val="auto"/>
                    <w:kern w:val="2"/>
                    <w:sz w:val="21"/>
                    <w:szCs w:val="21"/>
                    <w:highlight w:val="none"/>
                    <w:u w:val="none"/>
                    <w:lang w:val="en-US" w:eastAsia="zh-CN" w:bidi="ar-SA"/>
                  </w:rPr>
                  <m:t>−</m:t>
                </m:r>
                <m:sSub>
                  <m:sSubPr>
                    <m:ctrlPr>
                      <w:rPr>
                        <w:rFonts w:hint="eastAsia" w:ascii="DejaVu Math TeX Gyre" w:hAnsi="DejaVu Math TeX Gyre" w:eastAsia="黑体" w:cs="黑体"/>
                        <w:b w:val="0"/>
                        <w:color w:val="auto"/>
                        <w:kern w:val="2"/>
                        <w:sz w:val="21"/>
                        <w:szCs w:val="21"/>
                        <w:highlight w:val="none"/>
                        <w:u w:val="none"/>
                        <w:lang w:val="en-US" w:eastAsia="zh-CN" w:bidi="ar-S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DejaVu Math TeX Gyre" w:hAnsi="DejaVu Math TeX Gyre" w:cs="黑体"/>
                        <w:color w:val="auto"/>
                        <w:kern w:val="2"/>
                        <w:sz w:val="21"/>
                        <w:szCs w:val="21"/>
                        <w:highlight w:val="none"/>
                        <w:u w:val="none"/>
                        <w:lang w:val="en-US" w:bidi="ar-SA"/>
                      </w:rPr>
                      <m:t>δ</m:t>
                    </m:r>
                    <m:ctrlPr>
                      <w:rPr>
                        <w:rFonts w:hint="eastAsia" w:ascii="DejaVu Math TeX Gyre" w:hAnsi="DejaVu Math TeX Gyre" w:eastAsia="黑体" w:cs="黑体"/>
                        <w:b w:val="0"/>
                        <w:i w:val="0"/>
                        <w:color w:val="auto"/>
                        <w:kern w:val="2"/>
                        <w:sz w:val="21"/>
                        <w:szCs w:val="21"/>
                        <w:highlight w:val="none"/>
                        <w:u w:val="none"/>
                        <w:lang w:val="en-US" w:eastAsia="zh-CN" w:bidi="ar-SA"/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hint="default" w:ascii="DejaVu Math TeX Gyre" w:hAnsi="DejaVu Math TeX Gyre" w:eastAsia="黑体" w:cs="黑体"/>
                        <w:color w:val="auto"/>
                        <w:kern w:val="2"/>
                        <w:sz w:val="21"/>
                        <w:szCs w:val="21"/>
                        <w:highlight w:val="none"/>
                        <w:u w:val="none"/>
                        <w:lang w:val="en-US" w:eastAsia="zh-CN" w:bidi="ar-SA"/>
                      </w:rPr>
                      <m:t>参评地</m:t>
                    </m:r>
                    <m:ctrlPr>
                      <w:rPr>
                        <w:rFonts w:hint="eastAsia" w:ascii="DejaVu Math TeX Gyre" w:hAnsi="DejaVu Math TeX Gyre" w:eastAsia="黑体" w:cs="黑体"/>
                        <w:b w:val="0"/>
                        <w:i w:val="0"/>
                        <w:color w:val="auto"/>
                        <w:kern w:val="2"/>
                        <w:sz w:val="21"/>
                        <w:szCs w:val="21"/>
                        <w:highlight w:val="none"/>
                        <w:u w:val="none"/>
                        <w:lang w:val="en-US" w:eastAsia="zh-CN" w:bidi="ar-SA"/>
                      </w:rPr>
                    </m:ctrlPr>
                  </m:sub>
                </m:sSub>
                <m:r>
                  <m:rPr>
                    <m:sty m:val="p"/>
                  </m:rPr>
                  <w:rPr>
                    <w:rFonts w:hint="eastAsia" w:ascii="DejaVu Math TeX Gyre" w:hAnsi="DejaVu Math TeX Gyre" w:eastAsia="黑体" w:cs="黑体"/>
                    <w:color w:val="auto"/>
                    <w:kern w:val="2"/>
                    <w:sz w:val="21"/>
                    <w:szCs w:val="21"/>
                    <w:highlight w:val="none"/>
                    <w:u w:val="none"/>
                    <w:lang w:val="en-US" w:eastAsia="zh-CN" w:bidi="ar-SA"/>
                  </w:rPr>
                  <m:t>）</m:t>
                </m:r>
                <m:ctrlPr>
                  <w:rPr>
                    <w:rFonts w:hint="eastAsia" w:ascii="DejaVu Math TeX Gyre" w:hAnsi="DejaVu Math TeX Gyre" w:eastAsia="黑体" w:cs="黑体"/>
                    <w:b w:val="0"/>
                    <w:bCs w:val="0"/>
                    <w:color w:val="auto"/>
                    <w:kern w:val="2"/>
                    <w:sz w:val="21"/>
                    <w:szCs w:val="21"/>
                    <w:highlight w:val="none"/>
                    <w:u w:val="none"/>
                    <w:lang w:val="en-US" w:eastAsia="zh-CN" w:bidi="ar-SA"/>
                  </w:rPr>
                </m:ctrlPr>
              </m:e>
            </m:nary>
            <m:ctrlPr>
              <w:rPr>
                <w:rFonts w:hint="eastAsia" w:ascii="DejaVu Math TeX Gyre" w:hAnsi="DejaVu Math TeX Gyre" w:eastAsia="黑体" w:cs="黑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m:ctrlPr>
          </m:den>
        </m:f>
        <m:r>
          <m:rPr>
            <m:sty m:val="p"/>
          </m:rPr>
          <w:rPr>
            <w:rFonts w:hint="eastAsia" w:ascii="DejaVu Math TeX Gyre" w:hAnsi="DejaVu Math TeX Gyre" w:eastAsia="黑体" w:cs="黑体"/>
            <w:color w:val="auto"/>
            <w:kern w:val="2"/>
            <w:sz w:val="21"/>
            <w:szCs w:val="21"/>
            <w:highlight w:val="none"/>
            <w:u w:val="none"/>
            <w:lang w:val="en-US" w:bidi="ar-SA"/>
          </w:rPr>
          <m:t>×</m:t>
        </m:r>
        <m:r>
          <m:rPr>
            <m:sty m:val="p"/>
          </m:rPr>
          <w:rPr>
            <w:rFonts w:hint="eastAsia" w:ascii="DejaVu Math TeX Gyre" w:hAnsi="DejaVu Math TeX Gyre" w:eastAsia="黑体" w:cs="黑体"/>
            <w:color w:val="auto"/>
            <w:kern w:val="2"/>
            <w:sz w:val="21"/>
            <w:szCs w:val="21"/>
            <w:highlight w:val="none"/>
            <w:u w:val="none"/>
            <w:lang w:val="en-US" w:eastAsia="zh-CN" w:bidi="ar-SA"/>
          </w:rPr>
          <m:t>（</m:t>
        </m:r>
        <m:r>
          <m:rPr>
            <m:sty m:val="p"/>
          </m:rPr>
          <w:rPr>
            <w:rFonts w:hint="default" w:ascii="DejaVu Math TeX Gyre" w:hAnsi="DejaVu Math TeX Gyre" w:eastAsia="黑体" w:cs="黑体"/>
            <w:color w:val="auto"/>
            <w:kern w:val="2"/>
            <w:sz w:val="21"/>
            <w:szCs w:val="21"/>
            <w:highlight w:val="none"/>
            <w:u w:val="none"/>
            <w:lang w:val="en-US" w:eastAsia="zh-CN" w:bidi="ar-SA"/>
          </w:rPr>
          <m:t>省财政奖补资金</m:t>
        </m:r>
        <m:r>
          <m:rPr>
            <m:sty m:val="p"/>
          </m:rPr>
          <w:rPr>
            <w:rFonts w:ascii="DejaVu Math TeX Gyre" w:hAnsi="DejaVu Math TeX Gyre" w:cs="黑体"/>
            <w:color w:val="auto"/>
            <w:kern w:val="2"/>
            <w:sz w:val="21"/>
            <w:szCs w:val="21"/>
            <w:highlight w:val="none"/>
            <w:u w:val="none"/>
            <w:lang w:val="en-US" w:bidi="ar-SA"/>
          </w:rPr>
          <m:t>×</m:t>
        </m:r>
        <m:r>
          <m:rPr>
            <m:sty m:val="p"/>
          </m:rPr>
          <w:rPr>
            <w:rFonts w:hint="default" w:ascii="DejaVu Math TeX Gyre" w:hAnsi="DejaVu Math TeX Gyre" w:cs="黑体"/>
            <w:color w:val="auto"/>
            <w:kern w:val="2"/>
            <w:sz w:val="21"/>
            <w:szCs w:val="21"/>
            <w:highlight w:val="none"/>
            <w:u w:val="none"/>
            <w:lang w:val="en-US" w:eastAsia="zh-CN" w:bidi="ar-SA"/>
          </w:rPr>
          <m:t>40%</m:t>
        </m:r>
        <m:r>
          <m:rPr>
            <m:sty m:val="p"/>
          </m:rPr>
          <w:rPr>
            <w:rFonts w:hint="default" w:ascii="DejaVu Math TeX Gyre" w:hAnsi="DejaVu Math TeX Gyre" w:eastAsia="黑体" w:cs="黑体"/>
            <w:color w:val="auto"/>
            <w:kern w:val="2"/>
            <w:sz w:val="21"/>
            <w:szCs w:val="21"/>
            <w:highlight w:val="none"/>
            <w:u w:val="none"/>
            <w:lang w:val="en-US" w:eastAsia="zh-CN" w:bidi="ar-SA"/>
          </w:rPr>
          <m:t>+扣款资金</m:t>
        </m:r>
        <m:r>
          <m:rPr>
            <m:sty m:val="p"/>
          </m:rPr>
          <w:rPr>
            <w:rFonts w:hint="eastAsia" w:ascii="DejaVu Math TeX Gyre" w:hAnsi="DejaVu Math TeX Gyre" w:eastAsia="黑体" w:cs="黑体"/>
            <w:color w:val="auto"/>
            <w:kern w:val="2"/>
            <w:sz w:val="21"/>
            <w:szCs w:val="21"/>
            <w:highlight w:val="none"/>
            <w:u w:val="none"/>
            <w:lang w:val="en-US" w:bidi="ar-SA"/>
          </w:rPr>
          <m:t>×</m:t>
        </m:r>
        <m:r>
          <m:rPr>
            <m:sty m:val="p"/>
          </m:rPr>
          <w:rPr>
            <w:rFonts w:hint="default" w:ascii="DejaVu Math TeX Gyre" w:hAnsi="DejaVu Math TeX Gyre" w:eastAsia="黑体" w:cs="黑体"/>
            <w:color w:val="auto"/>
            <w:kern w:val="2"/>
            <w:sz w:val="21"/>
            <w:szCs w:val="21"/>
            <w:highlight w:val="none"/>
            <w:u w:val="none"/>
            <w:lang w:val="en-US" w:eastAsia="zh-CN" w:bidi="ar-SA"/>
          </w:rPr>
          <m:t>60%</m:t>
        </m:r>
      </m:oMath>
      <w:r>
        <w:rPr>
          <w:rFonts w:hint="eastAsia" w:hAnsi="DejaVu Math TeX Gyre" w:eastAsia="黑体" w:cs="黑体"/>
          <w:b w:val="0"/>
          <w:i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360" w:lineRule="auto"/>
        <w:ind w:firstLine="42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kern w:val="2"/>
          <w:sz w:val="21"/>
          <w:szCs w:val="21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  <w:t>γ为的PM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1"/>
          <w:szCs w:val="21"/>
          <w:highlight w:val="none"/>
          <w:u w:val="none"/>
          <w:vertAlign w:val="subscript"/>
          <w:lang w:val="en-US" w:eastAsia="zh-CN" w:bidi="ar-SA"/>
        </w:rPr>
        <w:t>2.5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  <w:t>省考目标值；δ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1"/>
          <w:szCs w:val="21"/>
          <w:highlight w:val="none"/>
          <w:u w:val="none"/>
          <w:vertAlign w:val="baseline"/>
          <w:lang w:val="en-US" w:eastAsia="zh-CN" w:bidi="ar-SA"/>
        </w:rPr>
        <w:t>为根据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  <w:t>PM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1"/>
          <w:szCs w:val="21"/>
          <w:highlight w:val="none"/>
          <w:u w:val="none"/>
          <w:vertAlign w:val="subscript"/>
          <w:lang w:val="en-US" w:eastAsia="zh-CN" w:bidi="ar-SA"/>
        </w:rPr>
        <w:t>2.5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  <w:t>年平均浓度折算得到的资金核算系数，算法为δ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1"/>
          <w:szCs w:val="21"/>
          <w:highlight w:val="none"/>
          <w:u w:val="none"/>
          <w:vertAlign w:val="baseline"/>
          <w:lang w:val="en-US" w:eastAsia="zh-CN" w:bidi="ar-SA"/>
        </w:rPr>
        <w:t>=考核年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  <w:t>PM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1"/>
          <w:szCs w:val="21"/>
          <w:highlight w:val="none"/>
          <w:u w:val="none"/>
          <w:vertAlign w:val="subscript"/>
          <w:lang w:val="en-US" w:eastAsia="zh-CN" w:bidi="ar-SA"/>
        </w:rPr>
        <w:t>2.5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  <w:t>年平均浓度</w:t>
      </w:r>
      <m:oMath>
        <m:r>
          <m:rPr>
            <m:sty m:val="p"/>
          </m:rPr>
          <w:rPr>
            <w:rFonts w:hint="eastAsia" w:ascii="DejaVu Math TeX Gyre" w:hAnsi="DejaVu Math TeX Gyre" w:eastAsia="黑体" w:cs="黑体"/>
            <w:color w:val="auto"/>
            <w:kern w:val="2"/>
            <w:sz w:val="21"/>
            <w:szCs w:val="21"/>
            <w:highlight w:val="none"/>
            <w:u w:val="none"/>
            <w:lang w:val="en-US" w:bidi="ar-SA"/>
          </w:rPr>
          <m:t>×</m:t>
        </m:r>
      </m:oMath>
      <w:r>
        <w:rPr>
          <w:rFonts w:hint="eastAsia" w:ascii="仿宋_GB2312" w:hAnsi="仿宋_GB2312" w:eastAsia="仿宋_GB2312" w:cs="仿宋_GB2312"/>
          <w:b w:val="0"/>
          <w:i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  <w:t>（1-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  <w:t>PM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1"/>
          <w:szCs w:val="21"/>
          <w:highlight w:val="none"/>
          <w:u w:val="none"/>
          <w:vertAlign w:val="subscript"/>
          <w:lang w:val="en-US" w:eastAsia="zh-CN" w:bidi="ar-SA"/>
        </w:rPr>
        <w:t>2.5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  <w:t>年平均浓度同比变化率</w:t>
      </w:r>
      <w:r>
        <w:rPr>
          <w:rFonts w:hint="eastAsia" w:hAnsi="DejaVu Math TeX Gyre" w:eastAsia="黑体" w:cs="黑体"/>
          <w:b w:val="0"/>
          <w:i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  <w:t>）；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  <w:t>以上PM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1"/>
          <w:szCs w:val="21"/>
          <w:highlight w:val="none"/>
          <w:u w:val="none"/>
          <w:vertAlign w:val="subscript"/>
          <w:lang w:val="en-US" w:eastAsia="zh-CN" w:bidi="ar-SA"/>
        </w:rPr>
        <w:t>2.5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  <w:t>浓度值取至小数点后1位，即每超额完成0.1微克/立方米PM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1"/>
          <w:szCs w:val="21"/>
          <w:highlight w:val="none"/>
          <w:u w:val="none"/>
          <w:vertAlign w:val="subscript"/>
          <w:lang w:val="en-US" w:eastAsia="zh-CN" w:bidi="ar-SA"/>
        </w:rPr>
        <w:t>2.5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  <w:t>省考目标，可获得更多的补偿资金；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21"/>
          <w:szCs w:val="21"/>
          <w:highlight w:val="none"/>
          <w:u w:val="none"/>
          <w:lang w:val="en-US" w:eastAsia="zh-CN" w:bidi="ar-SA"/>
        </w:rPr>
        <w:t>PM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21"/>
          <w:szCs w:val="21"/>
          <w:highlight w:val="none"/>
          <w:u w:val="none"/>
          <w:vertAlign w:val="subscript"/>
          <w:lang w:val="en-US" w:eastAsia="zh-CN" w:bidi="ar-SA"/>
        </w:rPr>
        <w:t>2.5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21"/>
          <w:szCs w:val="21"/>
          <w:highlight w:val="none"/>
          <w:u w:val="none"/>
          <w:lang w:val="en-US" w:eastAsia="zh-CN" w:bidi="ar-SA"/>
        </w:rPr>
        <w:t>年平均浓度同比变化率取至0.1%。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补偿资金计算时取至万元整数，剩余尾差资金分配给全省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年平均浓度最低的地区。年平均浓度最低的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地区不唯一时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，分配给其中优良天数比例较高的地区。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2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第七条﹝数据扣除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1"/>
          <w:szCs w:val="31"/>
          <w:lang w:val="en-US" w:eastAsia="zh-CN" w:bidi="ar"/>
        </w:rPr>
        <w:t>﹞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每年1月15日前，地方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可以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申请扣除区域传输对本地PM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u w:val="none"/>
          <w:vertAlign w:val="subscript"/>
          <w:lang w:val="en-US" w:eastAsia="zh-CN" w:bidi="ar-SA"/>
        </w:rPr>
        <w:t>2.5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年平均浓度的影响，并提供相应的技术论证报告等申请材料。省生态环境厅组织技术单位和专家评审地方的申请材料，评审结论仅用于本办法资金核算。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第八条</w:t>
      </w:r>
      <w:r>
        <w:rPr>
          <w:rFonts w:ascii="FZFangSong-Z02" w:hAnsi="FZFangSong-Z02" w:eastAsia="FZFangSong-Z02" w:cs="FZFangSong-Z02"/>
          <w:b/>
          <w:bCs/>
          <w:color w:val="000000"/>
          <w:kern w:val="0"/>
          <w:sz w:val="31"/>
          <w:szCs w:val="31"/>
          <w:lang w:val="en-US" w:eastAsia="zh-CN" w:bidi="ar"/>
        </w:rPr>
        <w:t>﹝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资金解缴</w:t>
      </w:r>
      <w:r>
        <w:rPr>
          <w:rFonts w:hint="eastAsia" w:ascii="FZFangSong-Z02" w:hAnsi="FZFangSong-Z02" w:eastAsia="FZFangSong-Z02" w:cs="FZFangSong-Z02"/>
          <w:b/>
          <w:bCs/>
          <w:color w:val="000000"/>
          <w:kern w:val="0"/>
          <w:sz w:val="31"/>
          <w:szCs w:val="31"/>
          <w:lang w:val="en-US" w:eastAsia="zh-CN" w:bidi="ar"/>
        </w:rPr>
        <w:t>﹞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补偿资金按年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核算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解缴。每年1月1日至12月31日为一个核缴年度。次年3月底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经专家组评议后，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由省生态环境厅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会同省财政厅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核算各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上个考核年度补偿总额，之后会同省财政厅通报各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人民政府，省财政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安排的奖补资金在执行中下达，扣款资金通过年终省与市县结算扣缴并下达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各市（州）要根据对所辖县区空气质量考核情况确定资金奖惩权重，每年2月底前报送至省生态环境厅。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第九条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﹝资金使用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﹞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各级人民政府应当加强对补偿资金使用的监督管理。补偿资金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只能用于城市环境空气质量相关的大气污染治理、噪声污染防治等生态环境保护项目以及生态环境监管、监测、执法能力建设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不得挤占、挪用。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拟实施的项目需报省生态环境厅备案。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各级财政、审计部门应加强监督管理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2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第十条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﹝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办法施行﹞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办法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发布之日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起施行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sectPr>
      <w:footerReference r:id="rId3" w:type="default"/>
      <w:pgSz w:w="11900" w:h="16838"/>
      <w:pgMar w:top="1417" w:right="1417" w:bottom="1417" w:left="1417" w:header="720" w:footer="720" w:gutter="0"/>
      <w:pgNumType w:start="2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FZFangSong-Z02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JIJGtD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6B3C772"/>
    <w:rsid w:val="23B85EA0"/>
    <w:rsid w:val="27F15554"/>
    <w:rsid w:val="27FFDD2B"/>
    <w:rsid w:val="2EFB6C1E"/>
    <w:rsid w:val="35F51191"/>
    <w:rsid w:val="3F5CD036"/>
    <w:rsid w:val="3FFEE699"/>
    <w:rsid w:val="57FD4B86"/>
    <w:rsid w:val="59F0100F"/>
    <w:rsid w:val="5F7F5BE9"/>
    <w:rsid w:val="5FDFD4D3"/>
    <w:rsid w:val="6ABEF2DD"/>
    <w:rsid w:val="767D9C40"/>
    <w:rsid w:val="7B79C79C"/>
    <w:rsid w:val="7D349D16"/>
    <w:rsid w:val="7DF11670"/>
    <w:rsid w:val="7E3EA046"/>
    <w:rsid w:val="7F3540D8"/>
    <w:rsid w:val="7F3F5C8C"/>
    <w:rsid w:val="7FBF5407"/>
    <w:rsid w:val="A7BF1873"/>
    <w:rsid w:val="AA74E7E1"/>
    <w:rsid w:val="BAAFC5A7"/>
    <w:rsid w:val="C3E735D1"/>
    <w:rsid w:val="D6B3C772"/>
    <w:rsid w:val="E9EE886B"/>
    <w:rsid w:val="EDBB8DCF"/>
    <w:rsid w:val="EDEF7E13"/>
    <w:rsid w:val="EEDD5D01"/>
    <w:rsid w:val="EEFA01A3"/>
    <w:rsid w:val="EF77898D"/>
    <w:rsid w:val="F773C989"/>
    <w:rsid w:val="F7E8DADD"/>
    <w:rsid w:val="F7FFA675"/>
    <w:rsid w:val="F95D543D"/>
    <w:rsid w:val="F9DCE228"/>
    <w:rsid w:val="FBFDF284"/>
    <w:rsid w:val="FDFE4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99</TotalTime>
  <ScaleCrop>false</ScaleCrop>
  <LinksUpToDate>false</LinksUpToDate>
  <CharactersWithSpaces>0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2025-12-11T16:41:00Z</dcterms:created>
  <dc:creator>杨学丽</dc:creator>
  <cp:lastModifiedBy>uos</cp:lastModifiedBy>
  <cp:lastPrinted>2026-04-08T13:49:37Z</cp:lastPrinted>
  <dcterms:modified xsi:type="dcterms:W3CDTF">2026-04-08T15:22:10Z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BFAF0C448CDB130013EBD569CA3786D3</vt:lpwstr>
  </property>
</Properties>
</file>